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line="240" w:lineRule="auto"/>
        <w:jc w:val="center"/>
        <w:rPr>
          <w:rFonts w:ascii="Calibri" w:cs="Calibri" w:eastAsia="Calibri" w:hAnsi="Calibri"/>
          <w:b w:val="1"/>
          <w:smallCaps w:val="1"/>
        </w:rPr>
      </w:pPr>
      <w:r w:rsidDel="00000000" w:rsidR="00000000" w:rsidRPr="00000000">
        <w:rPr>
          <w:rtl w:val="0"/>
        </w:rPr>
      </w:r>
    </w:p>
    <w:p w:rsidR="00000000" w:rsidDel="00000000" w:rsidP="00000000" w:rsidRDefault="00000000" w:rsidRPr="00000000" w14:paraId="00000002">
      <w:pPr>
        <w:jc w:val="center"/>
        <w:rPr>
          <w:b w:val="1"/>
        </w:rPr>
      </w:pPr>
      <w:r w:rsidDel="00000000" w:rsidR="00000000" w:rsidRPr="00000000">
        <w:rPr>
          <w:b w:val="1"/>
          <w:rtl w:val="0"/>
        </w:rPr>
        <w:t xml:space="preserve">THE MINISTER FOR THE CABINET OFFICE ON BEHALF OF THE CROWN REPRESENTED BY THE GOVERNMENT PROPERTY AGENCY</w:t>
      </w:r>
    </w:p>
    <w:p w:rsidR="00000000" w:rsidDel="00000000" w:rsidP="00000000" w:rsidRDefault="00000000" w:rsidRPr="00000000" w14:paraId="00000003">
      <w:pPr>
        <w:jc w:val="center"/>
        <w:rPr>
          <w:b w:val="1"/>
        </w:rPr>
      </w:pPr>
      <w:r w:rsidDel="00000000" w:rsidR="00000000" w:rsidRPr="00000000">
        <w:rPr>
          <w:b w:val="1"/>
          <w:rtl w:val="0"/>
        </w:rPr>
        <w:t xml:space="preserve">AND </w:t>
      </w:r>
    </w:p>
    <w:p w:rsidR="00000000" w:rsidDel="00000000" w:rsidP="00000000" w:rsidRDefault="00000000" w:rsidRPr="00000000" w14:paraId="00000004">
      <w:pPr>
        <w:jc w:val="center"/>
        <w:rPr>
          <w:b w:val="1"/>
          <w:smallCaps w:val="1"/>
        </w:rPr>
      </w:pPr>
      <w:r w:rsidDel="00000000" w:rsidR="00000000" w:rsidRPr="00000000">
        <w:rPr>
          <w:b w:val="1"/>
          <w:rtl w:val="0"/>
        </w:rPr>
        <w:t xml:space="preserve">ISS FACILITY SERVICES LIMITED </w:t>
      </w:r>
      <w:r w:rsidDel="00000000" w:rsidR="00000000" w:rsidRPr="00000000">
        <w:rPr>
          <w:rtl w:val="0"/>
        </w:rPr>
      </w:r>
    </w:p>
    <w:p w:rsidR="00000000" w:rsidDel="00000000" w:rsidP="00000000" w:rsidRDefault="00000000" w:rsidRPr="00000000" w14:paraId="00000005">
      <w:pPr>
        <w:spacing w:after="240" w:before="240" w:lineRule="auto"/>
        <w:jc w:val="center"/>
        <w:rPr>
          <w:b w:val="1"/>
          <w:smallCaps w:val="1"/>
        </w:rPr>
      </w:pPr>
      <w:r w:rsidDel="00000000" w:rsidR="00000000" w:rsidRPr="00000000">
        <w:rPr>
          <w:rtl w:val="0"/>
        </w:rPr>
      </w:r>
    </w:p>
    <w:p w:rsidR="00000000" w:rsidDel="00000000" w:rsidP="00000000" w:rsidRDefault="00000000" w:rsidRPr="00000000" w14:paraId="00000006">
      <w:pPr>
        <w:spacing w:after="240" w:before="240" w:lineRule="auto"/>
        <w:jc w:val="center"/>
        <w:rPr>
          <w:rFonts w:ascii="Calibri" w:cs="Calibri" w:eastAsia="Calibri" w:hAnsi="Calibri"/>
          <w:b w:val="1"/>
          <w:smallCaps w:val="1"/>
        </w:rPr>
      </w:pPr>
      <w:r w:rsidDel="00000000" w:rsidR="00000000" w:rsidRPr="00000000">
        <w:rPr>
          <w:rFonts w:ascii="Calibri" w:cs="Calibri" w:eastAsia="Calibri" w:hAnsi="Calibri"/>
          <w:b w:val="1"/>
          <w:smallCaps w:val="1"/>
          <w:rtl w:val="0"/>
        </w:rPr>
        <w:t xml:space="preserve">FACILITIES MANAGEMENT MARKETPLACE CONTRACT</w:t>
      </w:r>
    </w:p>
    <w:p w:rsidR="00000000" w:rsidDel="00000000" w:rsidP="00000000" w:rsidRDefault="00000000" w:rsidRPr="00000000" w14:paraId="00000007">
      <w:pPr>
        <w:spacing w:after="240" w:before="240" w:lineRule="auto"/>
        <w:jc w:val="center"/>
        <w:rPr>
          <w:rFonts w:ascii="Calibri" w:cs="Calibri" w:eastAsia="Calibri" w:hAnsi="Calibri"/>
          <w:b w:val="1"/>
          <w:smallCaps w:val="1"/>
        </w:rPr>
      </w:pPr>
      <w:r w:rsidDel="00000000" w:rsidR="00000000" w:rsidRPr="00000000">
        <w:rPr>
          <w:rFonts w:ascii="Calibri" w:cs="Calibri" w:eastAsia="Calibri" w:hAnsi="Calibri"/>
          <w:b w:val="1"/>
          <w:smallCaps w:val="1"/>
          <w:rtl w:val="0"/>
        </w:rPr>
        <w:t xml:space="preserve">REF: RM3830</w:t>
      </w:r>
    </w:p>
    <w:p w:rsidR="00000000" w:rsidDel="00000000" w:rsidP="00000000" w:rsidRDefault="00000000" w:rsidRPr="00000000" w14:paraId="00000008">
      <w:pPr>
        <w:spacing w:after="0" w:line="240" w:lineRule="auto"/>
        <w:jc w:val="both"/>
        <w:rPr>
          <w:rFonts w:ascii="Calibri" w:cs="Calibri" w:eastAsia="Calibri" w:hAnsi="Calibri"/>
          <w:b w:val="1"/>
          <w:sz w:val="20"/>
          <w:szCs w:val="20"/>
        </w:rPr>
      </w:pPr>
      <w:r w:rsidDel="00000000" w:rsidR="00000000" w:rsidRPr="00000000">
        <w:rPr>
          <w:rtl w:val="0"/>
        </w:rPr>
      </w:r>
    </w:p>
    <w:p w:rsidR="00000000" w:rsidDel="00000000" w:rsidP="00000000" w:rsidRDefault="00000000" w:rsidRPr="00000000" w14:paraId="00000009">
      <w:pPr>
        <w:spacing w:after="0" w:line="240" w:lineRule="auto"/>
        <w:jc w:val="both"/>
        <w:rPr>
          <w:rFonts w:ascii="Calibri" w:cs="Calibri" w:eastAsia="Calibri" w:hAnsi="Calibri"/>
          <w:b w:val="1"/>
          <w:sz w:val="20"/>
          <w:szCs w:val="20"/>
        </w:rPr>
      </w:pPr>
      <w:r w:rsidDel="00000000" w:rsidR="00000000" w:rsidRPr="00000000">
        <w:rPr>
          <w:rtl w:val="0"/>
        </w:rPr>
      </w:r>
    </w:p>
    <w:p w:rsidR="00000000" w:rsidDel="00000000" w:rsidP="00000000" w:rsidRDefault="00000000" w:rsidRPr="00000000" w14:paraId="0000000A">
      <w:pPr>
        <w:spacing w:after="240" w:line="240" w:lineRule="auto"/>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0B">
      <w:pPr>
        <w:spacing w:after="240" w:line="240" w:lineRule="auto"/>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0C">
      <w:pPr>
        <w:spacing w:after="240" w:line="240" w:lineRule="auto"/>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0D">
      <w:pPr>
        <w:rPr>
          <w:b w:val="1"/>
        </w:rPr>
      </w:pPr>
      <w:bookmarkStart w:colFirst="0" w:colLast="0" w:name="_heading=h.gjdgxs" w:id="0"/>
      <w:bookmarkEnd w:id="0"/>
      <w:r w:rsidDel="00000000" w:rsidR="00000000" w:rsidRPr="00000000">
        <w:br w:type="page"/>
      </w:r>
      <w:r w:rsidDel="00000000" w:rsidR="00000000" w:rsidRPr="00000000">
        <w:rPr>
          <w:rtl w:val="0"/>
        </w:rPr>
      </w:r>
    </w:p>
    <w:p w:rsidR="00000000" w:rsidDel="00000000" w:rsidP="00000000" w:rsidRDefault="00000000" w:rsidRPr="00000000" w14:paraId="0000000E">
      <w:pPr>
        <w:jc w:val="center"/>
        <w:rPr>
          <w:b w:val="1"/>
        </w:rPr>
      </w:pPr>
      <w:r w:rsidDel="00000000" w:rsidR="00000000" w:rsidRPr="00000000">
        <w:rPr>
          <w:b w:val="1"/>
          <w:rtl w:val="0"/>
        </w:rPr>
        <w:t xml:space="preserve">CALL-OFF SCHEDULE 10 </w:t>
      </w:r>
    </w:p>
    <w:p w:rsidR="00000000" w:rsidDel="00000000" w:rsidP="00000000" w:rsidRDefault="00000000" w:rsidRPr="00000000" w14:paraId="0000000F">
      <w:pPr>
        <w:jc w:val="center"/>
        <w:rPr>
          <w:b w:val="1"/>
        </w:rPr>
      </w:pPr>
      <w:r w:rsidDel="00000000" w:rsidR="00000000" w:rsidRPr="00000000">
        <w:rPr>
          <w:b w:val="1"/>
          <w:rtl w:val="0"/>
        </w:rPr>
        <w:t xml:space="preserve">EXIT MANAGEMENT</w:t>
      </w:r>
    </w:p>
    <w:p w:rsidR="00000000" w:rsidDel="00000000" w:rsidP="00000000" w:rsidRDefault="00000000" w:rsidRPr="00000000" w14:paraId="00000010">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OBLIGATIONS DURING THE CONTRACT PERIOD TO FACILITATE EXIT</w:t>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30j0zll" w:id="1"/>
      <w:bookmarkEnd w:id="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within 30 days from the Start Date provide to the Buyer a copy of its depreciation policy to be used for the purposes of calculating Net Book Value.</w:t>
      </w:r>
    </w:p>
    <w:p w:rsidR="00000000" w:rsidDel="00000000" w:rsidP="00000000" w:rsidRDefault="00000000" w:rsidRPr="00000000" w14:paraId="00000012">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1fob9te" w:id="2"/>
      <w:bookmarkEnd w:id="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During the Contract Period, the Supplier shall promptly:</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bookmarkStart w:colFirst="0" w:colLast="0" w:name="_heading=h.3znysh7" w:id="3"/>
      <w:bookmarkEnd w:id="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bookmarkStart w:colFirst="0" w:colLast="0" w:name="_heading=h.2et92p0" w:id="4"/>
      <w:bookmarkEnd w:id="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create and maintain a configuration database detailing the technical infrastructure and operating procedures through which the Supplier provides the Deliverables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Registers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15">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w:t>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ensure that all Exclusive Assets listed in the Registers are clearly physically identified as such; and</w:t>
      </w:r>
    </w:p>
    <w:p w:rsidR="00000000" w:rsidDel="00000000" w:rsidP="00000000" w:rsidRDefault="00000000" w:rsidRPr="00000000" w14:paraId="000000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bookmarkStart w:colFirst="0" w:colLast="0" w:name="_heading=h.tyjcwt" w:id="5"/>
      <w:bookmarkEnd w:id="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rsidR="00000000" w:rsidDel="00000000" w:rsidP="00000000" w:rsidRDefault="00000000" w:rsidRPr="00000000" w14:paraId="0000001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3dy6vkm" w:id="6"/>
      <w:bookmarkEnd w:id="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Each Party shall appoint an Exit Manager within three (3) Months of the Start Date. The Parties' Exit Managers will liaise with one another in relation to all issues relevant to the expiry or termination of this Contract.</w:t>
      </w:r>
    </w:p>
    <w:p w:rsidR="00000000" w:rsidDel="00000000" w:rsidP="00000000" w:rsidRDefault="00000000" w:rsidRPr="00000000" w14:paraId="00000019">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OBLIGATIONS TO ASSIST ON RE-TENDERING OF </w:t>
      </w:r>
      <w:r w:rsidDel="00000000" w:rsidR="00000000" w:rsidRPr="00000000">
        <w:rPr>
          <w:b w:val="1"/>
          <w:smallCaps w:val="1"/>
          <w:rtl w:val="0"/>
        </w:rPr>
        <w:t xml:space="preserve">DELIVERABLES</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1t3h5sf" w:id="7"/>
      <w:bookmarkEnd w:id="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Exit Information</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1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4d34og8" w:id="8"/>
      <w:bookmarkEnd w:id="8"/>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rsidR="00000000" w:rsidDel="00000000" w:rsidP="00000000" w:rsidRDefault="00000000" w:rsidRPr="00000000" w14:paraId="0000001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000000" w:rsidDel="00000000" w:rsidP="00000000" w:rsidRDefault="00000000" w:rsidRPr="00000000" w14:paraId="0000001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Exit Information shall be accurate and complete in all material respects and shall be sufficient to enable a third party to prepare an informed offer for those Deliverables; and not be disadvantaged in any procurement process compared to the Supplier.</w:t>
      </w:r>
    </w:p>
    <w:p w:rsidR="00000000" w:rsidDel="00000000" w:rsidP="00000000" w:rsidRDefault="00000000" w:rsidRPr="00000000" w14:paraId="0000001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both"/>
        <w:rPr/>
      </w:pPr>
      <w:bookmarkStart w:colFirst="0" w:colLast="0" w:name="_heading=h.2s8eyo1" w:id="9"/>
      <w:bookmarkEnd w:id="9"/>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EXIT PLAN</w:t>
      </w:r>
    </w:p>
    <w:p w:rsidR="00000000" w:rsidDel="00000000" w:rsidP="00000000" w:rsidRDefault="00000000" w:rsidRPr="00000000" w14:paraId="0000001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17dp8vu" w:id="10"/>
      <w:bookmarkEnd w:id="1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within three (3) Months after the Start Date, deliver to the Buyer an Exit Plan which complies with the requirements set out in Paragraph 3.3 of this Schedule and is otherwise reasonably satisfactory to the Buyer.</w:t>
      </w:r>
    </w:p>
    <w:p w:rsidR="00000000" w:rsidDel="00000000" w:rsidP="00000000" w:rsidRDefault="00000000" w:rsidRPr="00000000" w14:paraId="0000002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3rdcrjn" w:id="11"/>
      <w:bookmarkEnd w:id="1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Parties shall use reasonable endeavours to agree the contents of the Exit Plan. If the Parties are unable to agree the contents of the Exit Plan within twenty (20) Working Days of the latest date for its submission pursuant to Paragraph 3.1, then such Dispute shall be resolved in accordance with the Dispute Resolution Procedure. </w:t>
      </w:r>
    </w:p>
    <w:p w:rsidR="00000000" w:rsidDel="00000000" w:rsidP="00000000" w:rsidRDefault="00000000" w:rsidRPr="00000000" w14:paraId="00000021">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26in1rg" w:id="12"/>
      <w:bookmarkEnd w:id="1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Exit Plan shall set out, as a minimum:</w:t>
      </w:r>
    </w:p>
    <w:p w:rsidR="00000000" w:rsidDel="00000000" w:rsidP="00000000" w:rsidRDefault="00000000" w:rsidRPr="00000000" w14:paraId="0000002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detailed description of both the transfer and cessation processes, including a timetable; </w:t>
      </w:r>
    </w:p>
    <w:p w:rsidR="00000000" w:rsidDel="00000000" w:rsidP="00000000" w:rsidRDefault="00000000" w:rsidRPr="00000000" w14:paraId="0000002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how the Deliverables will transfer to the Replacement Supplier and/or the Buyer;</w:t>
      </w:r>
    </w:p>
    <w:p w:rsidR="00000000" w:rsidDel="00000000" w:rsidP="00000000" w:rsidRDefault="00000000" w:rsidRPr="00000000" w14:paraId="0000002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details of any contracts which will be available for transfer to the Buyer and/or the Replacement Supplier upon the Expiry Date together with any reasonable costs required to effect such transfer;</w:t>
      </w:r>
    </w:p>
    <w:p w:rsidR="00000000" w:rsidDel="00000000" w:rsidP="00000000" w:rsidRDefault="00000000" w:rsidRPr="00000000" w14:paraId="0000002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proposals for the training of key members of the Replacement Supplier’s staff in connection with the continuation of the provision of the Deliverables following the Expiry Date;</w:t>
      </w:r>
    </w:p>
    <w:p w:rsidR="00000000" w:rsidDel="00000000" w:rsidP="00000000" w:rsidRDefault="00000000" w:rsidRPr="00000000" w14:paraId="0000002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proposals for providing the Buyer or a Replacement Supplier copies of all documentation relating to the use and operation of the Deliverables and required for their continued use; </w:t>
      </w:r>
    </w:p>
    <w:p w:rsidR="00000000" w:rsidDel="00000000" w:rsidP="00000000" w:rsidRDefault="00000000" w:rsidRPr="00000000" w14:paraId="0000002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proposals for the assignment or novation of all services utilised by the Supplier in connection with the supply of the Deliverables;</w:t>
      </w:r>
    </w:p>
    <w:p w:rsidR="00000000" w:rsidDel="00000000" w:rsidP="00000000" w:rsidRDefault="00000000" w:rsidRPr="00000000" w14:paraId="0000002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proposals for the identification and return of all Buyer property in the possession of and/or control of the Supplier or any third party;</w:t>
      </w:r>
    </w:p>
    <w:p w:rsidR="00000000" w:rsidDel="00000000" w:rsidP="00000000" w:rsidRDefault="00000000" w:rsidRPr="00000000" w14:paraId="0000002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proposals for the disposal of any redundant Deliverables and materials;</w:t>
      </w:r>
    </w:p>
    <w:p w:rsidR="00000000" w:rsidDel="00000000" w:rsidP="00000000" w:rsidRDefault="00000000" w:rsidRPr="00000000" w14:paraId="0000002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how the Supplier will ensure that there is no disruption to or degradation of the Deliverables during the Termination Assistance Period; and</w:t>
      </w:r>
    </w:p>
    <w:p w:rsidR="00000000" w:rsidDel="00000000" w:rsidP="00000000" w:rsidRDefault="00000000" w:rsidRPr="00000000" w14:paraId="0000002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other information or assistance reasonably required by the Buyer or a Replacement Supplier.</w:t>
      </w:r>
    </w:p>
    <w:p w:rsidR="00000000" w:rsidDel="00000000" w:rsidP="00000000" w:rsidRDefault="00000000" w:rsidRPr="00000000" w14:paraId="0000002C">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lnxbz9" w:id="13"/>
      <w:bookmarkEnd w:id="1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w:t>
      </w:r>
    </w:p>
    <w:p w:rsidR="00000000" w:rsidDel="00000000" w:rsidP="00000000" w:rsidRDefault="00000000" w:rsidRPr="00000000" w14:paraId="0000002D">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maintain and update the Exit Plan (and risk management plan) no less frequently than: </w:t>
      </w:r>
    </w:p>
    <w:p w:rsidR="00000000" w:rsidDel="00000000" w:rsidP="00000000" w:rsidRDefault="00000000" w:rsidRPr="00000000" w14:paraId="0000002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every [six (6) months] throughout the Contract Period; and</w:t>
      </w:r>
    </w:p>
    <w:p w:rsidR="00000000" w:rsidDel="00000000" w:rsidP="00000000" w:rsidRDefault="00000000" w:rsidRPr="00000000" w14:paraId="0000002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both"/>
        <w:rPr/>
      </w:pPr>
      <w:bookmarkStart w:colFirst="0" w:colLast="0" w:name="_heading=h.35nkun2" w:id="14"/>
      <w:bookmarkEnd w:id="1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 later than [twenty (20) Working Days] after a request from the Buyer for an up-to-date copy of the Exit Plan; </w:t>
      </w:r>
    </w:p>
    <w:p w:rsidR="00000000" w:rsidDel="00000000" w:rsidP="00000000" w:rsidRDefault="00000000" w:rsidRPr="00000000" w14:paraId="0000003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as soon as reasonably possible following a Termination Assistance Notice, and in any event no later than [ten (10) Working Days] after the date of the Termination Assistance Notice;</w:t>
      </w:r>
    </w:p>
    <w:p w:rsidR="00000000" w:rsidDel="00000000" w:rsidP="00000000" w:rsidRDefault="00000000" w:rsidRPr="00000000" w14:paraId="0000003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as soon as reasonably possible following, and in any event no later than [twenty (20) Working Days] following, any material change to the Deliverables (including all changes under the Variation Procedure); and  </w:t>
      </w:r>
    </w:p>
    <w:p w:rsidR="00000000" w:rsidDel="00000000" w:rsidP="00000000" w:rsidRDefault="00000000" w:rsidRPr="00000000" w14:paraId="0000003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jointly review and verify the Exit Plan if required by the Buyer and promptly correct any identified failures.</w:t>
      </w:r>
    </w:p>
    <w:p w:rsidR="00000000" w:rsidDel="00000000" w:rsidP="00000000" w:rsidRDefault="00000000" w:rsidRPr="00000000" w14:paraId="0000003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Only if (by notification to the Supplier in writing) the Buyer agrees with a draft Exit Plan provided by the Supplier under Paragraph 3.2 or 3.4 (as the context requires), shall that draft become the Exit Plan for this Contract.  </w:t>
      </w:r>
    </w:p>
    <w:p w:rsidR="00000000" w:rsidDel="00000000" w:rsidP="00000000" w:rsidRDefault="00000000" w:rsidRPr="00000000" w14:paraId="0000003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version of an Exit Plan agreed between the parties shall not be superseded by any draft submitted by the Supplier.</w:t>
      </w:r>
    </w:p>
    <w:p w:rsidR="00000000" w:rsidDel="00000000" w:rsidP="00000000" w:rsidRDefault="00000000" w:rsidRPr="00000000" w14:paraId="0000003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TERMINATION ASSISTANCE</w:t>
      </w:r>
    </w:p>
    <w:p w:rsidR="00000000" w:rsidDel="00000000" w:rsidP="00000000" w:rsidRDefault="00000000" w:rsidRPr="00000000" w14:paraId="0000003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1ksv4uv" w:id="15"/>
      <w:bookmarkEnd w:id="1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shall be entitled to require the provision of Termination Assistance at any time during the Contract Period by giving written notice to the Supplier (a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"Termination Assistance Notice"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at least four (4) Months prior to the Expiry Date or as soon as reasonably practicable (but in any event, not later than one (1) Month) following the service by either Party of a Termination Notice. The Termination Assistance Notice shall specify:</w:t>
      </w:r>
    </w:p>
    <w:p w:rsidR="00000000" w:rsidDel="00000000" w:rsidP="00000000" w:rsidRDefault="00000000" w:rsidRPr="00000000" w14:paraId="0000003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nature of the Termination Assistance required; and</w:t>
      </w:r>
    </w:p>
    <w:p w:rsidR="00000000" w:rsidDel="00000000" w:rsidP="00000000" w:rsidRDefault="00000000" w:rsidRPr="00000000" w14:paraId="0000003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start date and period during which it is anticipated that Termination Assistance will be required, which shall continue no longer than twelve (12) Months after the date that the Supplier ceases to provide the Deliverables.</w:t>
      </w:r>
    </w:p>
    <w:p w:rsidR="00000000" w:rsidDel="00000000" w:rsidP="00000000" w:rsidRDefault="00000000" w:rsidRPr="00000000" w14:paraId="0000003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44sinio" w:id="16"/>
      <w:bookmarkEnd w:id="1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p>
    <w:p w:rsidR="00000000" w:rsidDel="00000000" w:rsidP="00000000" w:rsidRDefault="00000000" w:rsidRPr="00000000" w14:paraId="0000003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the event that Termination Assistance is required by the Buyer but at the relevant time the parties are still agreeing an update to the Exit Plan pursuant to Paragraph 3, the Supplier will provide the Termination Assistance in good faith and in accordance with the principles in this Schedule and the last Buyer approved version of the Exit Plan (insofar as it still applies).</w:t>
      </w:r>
    </w:p>
    <w:p w:rsidR="00000000" w:rsidDel="00000000" w:rsidP="00000000" w:rsidRDefault="00000000" w:rsidRPr="00000000" w14:paraId="0000003B">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TERMINATION ASSISTANCE PERIOD </w:t>
      </w:r>
    </w:p>
    <w:p w:rsidR="00000000" w:rsidDel="00000000" w:rsidP="00000000" w:rsidRDefault="00000000" w:rsidRPr="00000000" w14:paraId="0000003C">
      <w:pPr>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Throughout the Termination Assistance Period the Supplier shall:</w:t>
      </w:r>
    </w:p>
    <w:p w:rsidR="00000000" w:rsidDel="00000000" w:rsidP="00000000" w:rsidRDefault="00000000" w:rsidRPr="00000000" w14:paraId="0000003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continue to provide the Deliverables (as applicable) and otherwise perform its obligations under this Contract and, if required by the Buyer, provide the Termination Assistance;</w:t>
      </w:r>
    </w:p>
    <w:p w:rsidR="00000000" w:rsidDel="00000000" w:rsidP="00000000" w:rsidRDefault="00000000" w:rsidRPr="00000000" w14:paraId="0000003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bookmarkStart w:colFirst="0" w:colLast="0" w:name="_heading=h.2jxsxqh" w:id="17"/>
      <w:bookmarkEnd w:id="1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rsidR="00000000" w:rsidDel="00000000" w:rsidP="00000000" w:rsidRDefault="00000000" w:rsidRPr="00000000" w14:paraId="0000003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bookmarkStart w:colFirst="0" w:colLast="0" w:name="_heading=h.z337ya" w:id="18"/>
      <w:bookmarkEnd w:id="18"/>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use all reasonable endeavours to reallocate resources to provide such assistance without additional costs to the Buyer;</w:t>
      </w:r>
    </w:p>
    <w:p w:rsidR="00000000" w:rsidDel="00000000" w:rsidP="00000000" w:rsidRDefault="00000000" w:rsidRPr="00000000" w14:paraId="0000004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bookmarkStart w:colFirst="0" w:colLast="0" w:name="_heading=h.3j2qqm3" w:id="19"/>
      <w:bookmarkEnd w:id="1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subject to Paragraph 5.3, provide the Deliverables and the Termination Assistance at no detriment to the KPIs, the provision of the Management Information or any other reports nor to any other of the Supplier's obligations under this Contract; </w:t>
      </w:r>
    </w:p>
    <w:p w:rsidR="00000000" w:rsidDel="00000000" w:rsidP="00000000" w:rsidRDefault="00000000" w:rsidRPr="00000000" w14:paraId="0000004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bookmarkStart w:colFirst="0" w:colLast="0" w:name="_heading=h.1y810tw" w:id="20"/>
      <w:bookmarkEnd w:id="2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at the Buyer's request and on reasonable notice, deliver up-to-date Registers to the Buyer;</w:t>
      </w:r>
    </w:p>
    <w:p w:rsidR="00000000" w:rsidDel="00000000" w:rsidP="00000000" w:rsidRDefault="00000000" w:rsidRPr="00000000" w14:paraId="0000004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seek the Buyer's prior written consent to access any Buyer Premises from which the de-installation or removal of Supplier Assets is required.</w:t>
      </w:r>
    </w:p>
    <w:p w:rsidR="00000000" w:rsidDel="00000000" w:rsidP="00000000" w:rsidRDefault="00000000" w:rsidRPr="00000000" w14:paraId="0000004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it is not possible for the Supplier to reallocate resources to provide such assistance as is referred to in Paragraph 5.1.2 without additional costs to the Buyer, any additional costs incurred by the Supplier in providing such reasonable assistance shall be subject to the Variation Procedure.</w:t>
      </w:r>
    </w:p>
    <w:p w:rsidR="00000000" w:rsidDel="00000000" w:rsidP="00000000" w:rsidRDefault="00000000" w:rsidRPr="00000000" w14:paraId="0000004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4i7ojhp" w:id="21"/>
      <w:bookmarkEnd w:id="2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the Supplier demonstrates to the Buyer's reasonable satisfaction that the provision of the Termination Assistance will have a material, unavoidable adverse effect on the Supplier's ability to meet one or more particular KPI(s), the Parties shall vary the relevant KPI(s) and/or the applicable KPI Credits accordingly.</w:t>
      </w:r>
    </w:p>
    <w:p w:rsidR="00000000" w:rsidDel="00000000" w:rsidP="00000000" w:rsidRDefault="00000000" w:rsidRPr="00000000" w14:paraId="0000004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TERMINATION OBLIGATIONS</w:t>
      </w:r>
    </w:p>
    <w:p w:rsidR="00000000" w:rsidDel="00000000" w:rsidP="00000000" w:rsidRDefault="00000000" w:rsidRPr="00000000" w14:paraId="0000004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2xcytpi" w:id="22"/>
      <w:bookmarkEnd w:id="2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comply with all of its obligations contained in the Exit Plan.</w:t>
      </w:r>
    </w:p>
    <w:p w:rsidR="00000000" w:rsidDel="00000000" w:rsidP="00000000" w:rsidRDefault="00000000" w:rsidRPr="00000000" w14:paraId="00000047">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1ci93xb" w:id="23"/>
      <w:bookmarkEnd w:id="2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Upon termination or expiry or at the end of the Termination Assistance Period (or earlier if this does not adversely affect the Supplier's performance of the Deliverables and the Termination Assistance), the Supplier shall:</w:t>
      </w:r>
    </w:p>
    <w:p w:rsidR="00000000" w:rsidDel="00000000" w:rsidP="00000000" w:rsidRDefault="00000000" w:rsidRPr="00000000" w14:paraId="0000004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vacate any Buyer Premises;</w:t>
      </w:r>
    </w:p>
    <w:p w:rsidR="00000000" w:rsidDel="00000000" w:rsidP="00000000" w:rsidRDefault="00000000" w:rsidRPr="00000000" w14:paraId="0000004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rsidR="00000000" w:rsidDel="00000000" w:rsidP="00000000" w:rsidRDefault="00000000" w:rsidRPr="00000000" w14:paraId="0000004A">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bookmarkStart w:colFirst="0" w:colLast="0" w:name="_heading=h.3whwml4" w:id="24"/>
      <w:bookmarkEnd w:id="2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provide access during normal working hours to the Buyer and/or the Replacement Supplier for up to twelve (12) Months after expiry or termination to:</w:t>
      </w:r>
    </w:p>
    <w:p w:rsidR="00000000" w:rsidDel="00000000" w:rsidP="00000000" w:rsidRDefault="00000000" w:rsidRPr="00000000" w14:paraId="0000004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such information relating to the Deliverables as remains in the possession or control of the Supplier; and</w:t>
      </w:r>
    </w:p>
    <w:p w:rsidR="00000000" w:rsidDel="00000000" w:rsidP="00000000" w:rsidRDefault="00000000" w:rsidRPr="00000000" w14:paraId="0000004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bn6wsx" w:id="25"/>
      <w:bookmarkEnd w:id="2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rsidR="00000000" w:rsidDel="00000000" w:rsidP="00000000" w:rsidRDefault="00000000" w:rsidRPr="00000000" w14:paraId="0000004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qsh70q" w:id="26"/>
      <w:bookmarkEnd w:id="2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Except where this Contract provides otherwise, all licences, leases and authorisations granted by the Buyer to the Supplier in relation to the Deliverables shall be terminated with effect from the end of the Termination Assistance Period.</w:t>
      </w:r>
    </w:p>
    <w:p w:rsidR="00000000" w:rsidDel="00000000" w:rsidP="00000000" w:rsidRDefault="00000000" w:rsidRPr="00000000" w14:paraId="0000004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both"/>
        <w:rPr/>
      </w:pPr>
      <w:bookmarkStart w:colFirst="0" w:colLast="0" w:name="_heading=h.3as4poj" w:id="27"/>
      <w:bookmarkEnd w:id="27"/>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ASSETS, SUBCONTRACTS AND SOFTWARE</w:t>
      </w:r>
    </w:p>
    <w:p w:rsidR="00000000" w:rsidDel="00000000" w:rsidP="00000000" w:rsidRDefault="00000000" w:rsidRPr="00000000" w14:paraId="0000004F">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1pxezwc" w:id="28"/>
      <w:bookmarkEnd w:id="28"/>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Following notice of termination of this Contract and during the Termination Assistance Period, the Supplier shall not, without the Buyer's prior written consent:</w:t>
      </w:r>
    </w:p>
    <w:p w:rsidR="00000000" w:rsidDel="00000000" w:rsidP="00000000" w:rsidRDefault="00000000" w:rsidRPr="00000000" w14:paraId="0000005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terminate, enter into or vary any Sub-contract or licence for any software in connection with the Deliverables; or</w:t>
      </w:r>
    </w:p>
    <w:p w:rsidR="00000000" w:rsidDel="00000000" w:rsidP="00000000" w:rsidRDefault="00000000" w:rsidRPr="00000000" w14:paraId="0000005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(subject to normal maintenance requirements) make material modifications to, or dispose of, any existing Supplier Assets or acquire any new Supplier Assets.</w:t>
      </w:r>
    </w:p>
    <w:p w:rsidR="00000000" w:rsidDel="00000000" w:rsidP="00000000" w:rsidRDefault="00000000" w:rsidRPr="00000000" w14:paraId="00000052">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49x2ik5" w:id="29"/>
      <w:bookmarkEnd w:id="2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Within twenty (20) Working Days of receipt of the up-to-date Registers provided by the Supplier, the Buyer shall notify the Supplier setting out:</w:t>
      </w:r>
    </w:p>
    <w:p w:rsidR="00000000" w:rsidDel="00000000" w:rsidP="00000000" w:rsidRDefault="00000000" w:rsidRPr="00000000" w14:paraId="0000005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bookmarkStart w:colFirst="0" w:colLast="0" w:name="_heading=h.2p2csry" w:id="30"/>
      <w:bookmarkEnd w:id="3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which, if any, of the Transferable Assets the Buyer requires to be transferred to the Buyer and/or the Replacement Supplier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Transferring Assets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54">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bookmarkStart w:colFirst="0" w:colLast="0" w:name="_heading=h.3o7alnk" w:id="31"/>
      <w:bookmarkEnd w:id="3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which, if any, of:</w:t>
      </w:r>
    </w:p>
    <w:p w:rsidR="00000000" w:rsidDel="00000000" w:rsidP="00000000" w:rsidRDefault="00000000" w:rsidRPr="00000000" w14:paraId="0000005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Exclusive Assets that are not Transferable Assets; and </w:t>
      </w:r>
    </w:p>
    <w:p w:rsidR="00000000" w:rsidDel="00000000" w:rsidP="00000000" w:rsidRDefault="00000000" w:rsidRPr="00000000" w14:paraId="0000005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Non-Exclusive Assets,</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127"/>
        </w:tabs>
        <w:spacing w:after="120" w:before="120" w:line="240" w:lineRule="auto"/>
        <w:ind w:left="1656"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and/or the Replacement Supplier requires the continued use of; and</w:t>
      </w:r>
    </w:p>
    <w:p w:rsidR="00000000" w:rsidDel="00000000" w:rsidP="00000000" w:rsidRDefault="00000000" w:rsidRPr="00000000" w14:paraId="0000005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bookmarkStart w:colFirst="0" w:colLast="0" w:name="_heading=h.23ckvvd" w:id="32"/>
      <w:bookmarkEnd w:id="3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which, if any, of Transferable Contracts the Buyer requires to be assigned or novated to the Buyer and/or the Replacement Supplier (the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"Transferring Contracts"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2127"/>
        </w:tabs>
        <w:spacing w:after="120" w:before="120" w:line="240" w:lineRule="auto"/>
        <w:ind w:left="936" w:right="0" w:hanging="349.000000000000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000000" w:rsidDel="00000000" w:rsidP="00000000" w:rsidRDefault="00000000" w:rsidRPr="00000000" w14:paraId="0000005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ihv636" w:id="33"/>
      <w:bookmarkEnd w:id="3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 effect from the expiry of the Termination Assistance Period, the Supplier shall sell the Transferring Assets to the Buyer and/or the Replacement Supplier for the Net Book Value less any amount already paid for them through the Charges, subject to the total figure payable being no less than £0. For the avoidance of doubt, in no circumstances shall the Supplier be required to pay the Buyer and/or Replacement Supplier for transferring the Transferring Assets.</w:t>
      </w:r>
    </w:p>
    <w:p w:rsidR="00000000" w:rsidDel="00000000" w:rsidP="00000000" w:rsidRDefault="00000000" w:rsidRPr="00000000" w14:paraId="0000005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Risk in the Transferring Assets shall pass to the Buyer or the Replacement Supplier (as appropriate) at the end of the Termination Assistance Period and title shall pass on payment for them.</w:t>
      </w:r>
    </w:p>
    <w:p w:rsidR="00000000" w:rsidDel="00000000" w:rsidP="00000000" w:rsidRDefault="00000000" w:rsidRPr="00000000" w14:paraId="0000005C">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32hioqz" w:id="34"/>
      <w:bookmarkEnd w:id="3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the Buyer and/or the Replacement Supplier requires continued use of any Exclusive Assets that are not Transferable Assets or any Non-Exclusive Assets, the Supplier shall as soon as reasonably practicable:</w:t>
      </w:r>
    </w:p>
    <w:p w:rsidR="00000000" w:rsidDel="00000000" w:rsidP="00000000" w:rsidRDefault="00000000" w:rsidRPr="00000000" w14:paraId="0000005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procure a non-exclusive, perpetual, royalty-free licence for the Buyer and/or the Replacement Supplier to use such assets (with a right of sub-licence or assignment on the same terms); or failing which</w:t>
      </w:r>
    </w:p>
    <w:p w:rsidR="00000000" w:rsidDel="00000000" w:rsidP="00000000" w:rsidRDefault="00000000" w:rsidRPr="00000000" w14:paraId="0000005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procure a suitable alternative to such assets, the Buyer or the Replacement Supplier to bear the reasonable proven costs of procuring the same.</w:t>
      </w:r>
    </w:p>
    <w:p w:rsidR="00000000" w:rsidDel="00000000" w:rsidP="00000000" w:rsidRDefault="00000000" w:rsidRPr="00000000" w14:paraId="0000005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1hmsyys" w:id="35"/>
      <w:bookmarkEnd w:id="3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p>
    <w:p w:rsidR="00000000" w:rsidDel="00000000" w:rsidP="00000000" w:rsidRDefault="00000000" w:rsidRPr="00000000" w14:paraId="0000006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41mghml" w:id="36"/>
      <w:bookmarkEnd w:id="3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shall:</w:t>
      </w:r>
    </w:p>
    <w:p w:rsidR="00000000" w:rsidDel="00000000" w:rsidP="00000000" w:rsidRDefault="00000000" w:rsidRPr="00000000" w14:paraId="0000006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accept assignments from the Supplier or join with the Supplier in procuring a novation of each Transferring Contract; and</w:t>
      </w:r>
    </w:p>
    <w:p w:rsidR="00000000" w:rsidDel="00000000" w:rsidP="00000000" w:rsidRDefault="00000000" w:rsidRPr="00000000" w14:paraId="0000006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rsidR="00000000" w:rsidDel="00000000" w:rsidP="00000000" w:rsidRDefault="00000000" w:rsidRPr="00000000" w14:paraId="0000006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hold any Transferring Contracts on trust for the Buyer until the transfer of the relevant Transferring Contract to the Buyer and/or the Replacement Supplier has taken place.</w:t>
      </w:r>
    </w:p>
    <w:p w:rsidR="00000000" w:rsidDel="00000000" w:rsidP="00000000" w:rsidRDefault="00000000" w:rsidRPr="00000000" w14:paraId="0000006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2grqrue" w:id="37"/>
      <w:bookmarkEnd w:id="3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7.6 in relation to any matters arising prior to the date of assignment or novation of such Transferring Contract. Clause 19 Core Terms (Other people's rights in this contract) shall not apply to this Paragraph 7.9 which is intended to be enforceable by Third Parties Beneficiaries by virtue of the CRTPA.</w:t>
      </w:r>
    </w:p>
    <w:p w:rsidR="00000000" w:rsidDel="00000000" w:rsidP="00000000" w:rsidRDefault="00000000" w:rsidRPr="00000000" w14:paraId="0000006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For the avoidance of doubt, the CF&amp;F and CF&amp;E shall be Transferrable Assets. However, the Parties agree that no payment shall be required to be made by the Buyer and/or the Replacement Supplier to the Supplier in respect of the CF&amp;F.</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Notwithstanding anything else in the Contract, the Net Book Value of the CF&amp;E shall, throughout the term of this Contract, be calculated by reference to depreciation costs in the Supplier’s Catering Profit &amp; Loss Accounts annually at one fifth (1/5</w:t>
      </w:r>
      <w:r w:rsidDel="00000000" w:rsidR="00000000" w:rsidRPr="00000000">
        <w:rPr>
          <w:rFonts w:ascii="Calibri" w:cs="Calibri" w:eastAsia="Calibri" w:hAnsi="Calibri"/>
          <w:b w:val="0"/>
          <w:i w:val="0"/>
          <w:smallCaps w:val="0"/>
          <w:strike w:val="0"/>
          <w:color w:val="000000"/>
          <w:sz w:val="22"/>
          <w:szCs w:val="22"/>
          <w:u w:val="none"/>
          <w:shd w:fill="auto" w:val="clear"/>
          <w:vertAlign w:val="superscript"/>
          <w:rtl w:val="0"/>
        </w:rPr>
        <w:t xml:space="preserve">th</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of the value of the original purchase price of the relevant CF&amp;E. </w:t>
      </w:r>
    </w:p>
    <w:p w:rsidR="00000000" w:rsidDel="00000000" w:rsidP="00000000" w:rsidRDefault="00000000" w:rsidRPr="00000000" w14:paraId="00000067">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both"/>
        <w:rPr/>
      </w:pPr>
      <w:bookmarkStart w:colFirst="0" w:colLast="0" w:name="_heading=h.vx1227" w:id="38"/>
      <w:bookmarkEnd w:id="38"/>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CHARGES </w:t>
      </w:r>
    </w:p>
    <w:p w:rsidR="00000000" w:rsidDel="00000000" w:rsidP="00000000" w:rsidRDefault="00000000" w:rsidRPr="00000000" w14:paraId="0000006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Unless otherwise stated, the Buyer shall not be obliged to pay for costs incurred by the Supplier in relation to its compliance with, this Schedule.</w:t>
      </w:r>
    </w:p>
    <w:p w:rsidR="00000000" w:rsidDel="00000000" w:rsidP="00000000" w:rsidRDefault="00000000" w:rsidRPr="00000000" w14:paraId="00000069">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APPORTIONMENTS </w:t>
      </w:r>
    </w:p>
    <w:p w:rsidR="00000000" w:rsidDel="00000000" w:rsidP="00000000" w:rsidRDefault="00000000" w:rsidRPr="00000000" w14:paraId="0000006A">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3fwokq0" w:id="39"/>
      <w:bookmarkEnd w:id="3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All outgoings, expenses, rents, royalties and other periodical payments receivable in respect of the Transferring Assets and Transferring Contracts shall be apportioned between the Buyer and/or the Replacement and the Supplier as follows:</w:t>
      </w:r>
    </w:p>
    <w:p w:rsidR="00000000" w:rsidDel="00000000" w:rsidP="00000000" w:rsidRDefault="00000000" w:rsidRPr="00000000" w14:paraId="0000006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amounts shall be annualised and divided by 365 to reach a daily rate;</w:t>
      </w:r>
    </w:p>
    <w:p w:rsidR="00000000" w:rsidDel="00000000" w:rsidP="00000000" w:rsidRDefault="00000000" w:rsidRPr="00000000" w14:paraId="0000006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or Replacement Supplier (as applicable) shall be responsible for or entitled to (as the case may be) that part of the value of the invoice pro rata to the number of complete days following the transfer, multiplied by the daily rate; and</w:t>
      </w:r>
    </w:p>
    <w:p w:rsidR="00000000" w:rsidDel="00000000" w:rsidP="00000000" w:rsidRDefault="00000000" w:rsidRPr="00000000" w14:paraId="0000006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be responsible for or entitled to (as the case may be) the rest of the invoice.</w:t>
      </w:r>
    </w:p>
    <w:p w:rsidR="00000000" w:rsidDel="00000000" w:rsidP="00000000" w:rsidRDefault="00000000" w:rsidRPr="00000000" w14:paraId="0000006E">
      <w:pPr>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2">
    <w:pPr>
      <w:tabs>
        <w:tab w:val="center" w:leader="none" w:pos="4513"/>
        <w:tab w:val="right" w:leader="none" w:pos="9016"/>
      </w:tabs>
      <w:spacing w:after="0" w:lineRule="auto"/>
      <w:rPr/>
    </w:pPr>
    <w:r w:rsidDel="00000000" w:rsidR="00000000" w:rsidRPr="00000000">
      <w:rPr>
        <w:sz w:val="16"/>
        <w:szCs w:val="16"/>
        <w:rtl w:val="0"/>
      </w:rPr>
      <w:t xml:space="preserve">Project Version 1.0</w:t>
    </w:r>
    <w:r w:rsidDel="00000000" w:rsidR="00000000" w:rsidRPr="00000000">
      <w:rPr>
        <w:rFonts w:ascii="Times New Roman" w:cs="Times New Roman" w:eastAsia="Times New Roman" w:hAnsi="Times New Roman"/>
        <w:rtl w:val="0"/>
      </w:rPr>
      <w:tab/>
    </w:r>
    <w:r w:rsidDel="00000000" w:rsidR="00000000" w:rsidRPr="00000000">
      <w:rPr>
        <w:rtl w:val="0"/>
      </w:rPr>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Further Competition under Lot 1C of the RM3830 Facilities Management Marketplace</w:t>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Ref: RM3830 (Model v3.0)</w:t>
      <w:tab/>
      <w:tab/>
      <w:t xml:space="preserve">Crown Copyright 2022</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F">
    <w:pPr>
      <w:spacing w:after="0" w:lineRule="auto"/>
      <w:rPr>
        <w:b w:val="1"/>
      </w:rPr>
    </w:pPr>
    <w:r w:rsidDel="00000000" w:rsidR="00000000" w:rsidRPr="00000000">
      <w:rPr>
        <w:b w:val="1"/>
        <w:rtl w:val="0"/>
      </w:rPr>
      <w:t xml:space="preserve">Customer Support &amp; Community (Provision of Soft FM Services) London</w:t>
    </w:r>
    <w:r w:rsidDel="00000000" w:rsidR="00000000" w:rsidRPr="00000000">
      <w:drawing>
        <wp:anchor allowOverlap="1" behindDoc="1" distB="0" distT="0" distL="0" distR="0" hidden="0" layoutInCell="1" locked="0" relativeHeight="0" simplePos="0">
          <wp:simplePos x="0" y="0"/>
          <wp:positionH relativeFrom="column">
            <wp:posOffset>5731200</wp:posOffset>
          </wp:positionH>
          <wp:positionV relativeFrom="paragraph">
            <wp:posOffset>-221827</wp:posOffset>
          </wp:positionV>
          <wp:extent cx="889000" cy="732155"/>
          <wp:effectExtent b="0" l="0" r="0" t="0"/>
          <wp:wrapNone/>
          <wp:docPr id="23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889000" cy="732155"/>
                  </a:xfrm>
                  <a:prstGeom prst="rect"/>
                  <a:ln/>
                </pic:spPr>
              </pic:pic>
            </a:graphicData>
          </a:graphic>
        </wp:anchor>
      </w:drawing>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Call-Off Schedule 10 (Exit Management) </w:t>
    </w: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2022</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644" w:hanging="359.99999999999994"/>
      </w:pPr>
      <w:rPr>
        <w:smallCaps w:val="0"/>
        <w:strike w:val="0"/>
        <w:color w:val="000000"/>
        <w:u w:val="none"/>
        <w:vertAlign w:val="baseline"/>
      </w:rPr>
    </w:lvl>
    <w:lvl w:ilvl="1">
      <w:start w:val="1"/>
      <w:numFmt w:val="decimal"/>
      <w:lvlText w:val="%1.%2"/>
      <w:lvlJc w:val="left"/>
      <w:pPr>
        <w:ind w:left="928" w:hanging="360"/>
      </w:pPr>
      <w:rPr>
        <w:rFonts w:ascii="Calibri" w:cs="Calibri" w:eastAsia="Calibri" w:hAnsi="Calibri"/>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adjustRightInd w:val="0"/>
      <w:spacing w:after="120" w:before="120" w:line="240" w:lineRule="auto"/>
      <w:ind w:left="936" w:hanging="576"/>
      <w:jc w:val="both"/>
    </w:pPr>
    <w:rPr>
      <w:rFonts w:ascii="Calibri" w:cs="Arial" w:eastAsia="Times New Roman"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ind w:left="3402" w:hanging="567"/>
    </w:p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GPSL3Indent" w:customStyle="1">
    <w:name w:val="GPS L3 Indent"/>
    <w:basedOn w:val="Normal"/>
    <w:pPr>
      <w:tabs>
        <w:tab w:val="left" w:pos="2127"/>
      </w:tabs>
      <w:adjustRightInd w:val="0"/>
      <w:spacing w:after="120" w:before="120" w:line="240" w:lineRule="auto"/>
      <w:ind w:left="2127"/>
      <w:jc w:val="both"/>
    </w:pPr>
    <w:rPr>
      <w:rFonts w:ascii="Arial" w:cs="Arial" w:eastAsia="Times New Roman" w:hAnsi="Arial"/>
      <w:lang w:eastAsia="zh-CN" w:val="en-US"/>
    </w:rPr>
  </w:style>
  <w:style w:type="paragraph" w:styleId="GPSL2Indent" w:customStyle="1">
    <w:name w:val="GPS L2 Indent"/>
    <w:basedOn w:val="GPSL2numberedclause"/>
    <w:link w:val="GPSL2IndentChar"/>
    <w:qFormat w:val="1"/>
    <w:pPr>
      <w:numPr>
        <w:ilvl w:val="0"/>
        <w:numId w:val="0"/>
      </w:numPr>
      <w:tabs>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ind w:left="360"/>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unhideWhenUsed w:val="1"/>
    <w:pPr>
      <w:spacing w:line="240" w:lineRule="auto"/>
    </w:pPr>
    <w:rPr>
      <w:sz w:val="20"/>
      <w:szCs w:val="20"/>
    </w:rPr>
  </w:style>
  <w:style w:type="character" w:styleId="CommentTextChar" w:customStyle="1">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cheduleL1" w:customStyle="1">
    <w:name w:val="Schedule L1"/>
    <w:basedOn w:val="Normal"/>
    <w:pPr>
      <w:numPr>
        <w:numId w:val="3"/>
      </w:numPr>
      <w:adjustRightInd w:val="0"/>
      <w:spacing w:after="240" w:line="240" w:lineRule="auto"/>
      <w:jc w:val="both"/>
      <w:outlineLvl w:val="0"/>
    </w:pPr>
    <w:rPr>
      <w:rFonts w:ascii="Times New Roman" w:cs="Times New Roman" w:eastAsia="STZhongsong" w:hAnsi="Times New Roman"/>
      <w:szCs w:val="20"/>
      <w:lang w:eastAsia="zh-CN"/>
    </w:rPr>
  </w:style>
  <w:style w:type="paragraph" w:styleId="ScheduleL2" w:customStyle="1">
    <w:name w:val="Schedule L2"/>
    <w:basedOn w:val="Normal"/>
    <w:link w:val="ScheduleL2Char"/>
    <w:pPr>
      <w:numPr>
        <w:ilvl w:val="1"/>
        <w:numId w:val="3"/>
      </w:numPr>
      <w:adjustRightInd w:val="0"/>
      <w:spacing w:after="240" w:line="240" w:lineRule="auto"/>
      <w:jc w:val="both"/>
      <w:outlineLvl w:val="1"/>
    </w:pPr>
    <w:rPr>
      <w:rFonts w:ascii="Times New Roman" w:cs="Times New Roman" w:eastAsia="STZhongsong" w:hAnsi="Times New Roman"/>
      <w:szCs w:val="20"/>
      <w:lang w:eastAsia="zh-CN"/>
    </w:rPr>
  </w:style>
  <w:style w:type="paragraph" w:styleId="ScheduleL3" w:customStyle="1">
    <w:name w:val="Schedule L3"/>
    <w:basedOn w:val="Normal"/>
    <w:link w:val="ScheduleL3Char"/>
    <w:pPr>
      <w:numPr>
        <w:ilvl w:val="2"/>
        <w:numId w:val="3"/>
      </w:numPr>
      <w:adjustRightInd w:val="0"/>
      <w:spacing w:after="240" w:line="240" w:lineRule="auto"/>
      <w:jc w:val="both"/>
      <w:outlineLvl w:val="2"/>
    </w:pPr>
    <w:rPr>
      <w:rFonts w:ascii="Times New Roman" w:cs="Times New Roman" w:eastAsia="STZhongsong" w:hAnsi="Times New Roman"/>
      <w:szCs w:val="20"/>
      <w:lang w:eastAsia="zh-CN"/>
    </w:rPr>
  </w:style>
  <w:style w:type="paragraph" w:styleId="ScheduleL4" w:customStyle="1">
    <w:name w:val="Schedule L4"/>
    <w:basedOn w:val="Normal"/>
    <w:pPr>
      <w:numPr>
        <w:ilvl w:val="3"/>
        <w:numId w:val="3"/>
      </w:numPr>
      <w:adjustRightInd w:val="0"/>
      <w:spacing w:after="240" w:line="240" w:lineRule="auto"/>
      <w:jc w:val="both"/>
      <w:outlineLvl w:val="3"/>
    </w:pPr>
    <w:rPr>
      <w:rFonts w:ascii="Times New Roman" w:cs="Times New Roman" w:eastAsia="STZhongsong" w:hAnsi="Times New Roman"/>
      <w:szCs w:val="20"/>
      <w:lang w:eastAsia="zh-CN"/>
    </w:rPr>
  </w:style>
  <w:style w:type="paragraph" w:styleId="ScheduleL5" w:customStyle="1">
    <w:name w:val="Schedule L5"/>
    <w:basedOn w:val="Normal"/>
    <w:pPr>
      <w:numPr>
        <w:ilvl w:val="4"/>
        <w:numId w:val="3"/>
      </w:numPr>
      <w:adjustRightInd w:val="0"/>
      <w:spacing w:after="240" w:line="240" w:lineRule="auto"/>
      <w:jc w:val="both"/>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3"/>
      </w:numPr>
      <w:adjustRightInd w:val="0"/>
      <w:spacing w:after="240" w:line="240" w:lineRule="auto"/>
      <w:jc w:val="both"/>
      <w:outlineLvl w:val="5"/>
    </w:pPr>
    <w:rPr>
      <w:rFonts w:ascii="Times New Roman" w:cs="Times New Roman" w:eastAsia="STZhongsong" w:hAnsi="Times New Roman"/>
      <w:szCs w:val="20"/>
      <w:lang w:eastAsia="zh-CN"/>
    </w:rPr>
  </w:style>
  <w:style w:type="paragraph" w:styleId="ScheduleL7" w:customStyle="1">
    <w:name w:val="Schedule L7"/>
    <w:basedOn w:val="Normal"/>
    <w:pPr>
      <w:numPr>
        <w:ilvl w:val="6"/>
        <w:numId w:val="3"/>
      </w:numPr>
      <w:adjustRightInd w:val="0"/>
      <w:spacing w:after="240" w:line="240" w:lineRule="auto"/>
      <w:jc w:val="both"/>
      <w:outlineLvl w:val="6"/>
    </w:pPr>
    <w:rPr>
      <w:rFonts w:ascii="Times New Roman" w:cs="Times New Roman" w:eastAsia="STZhongsong" w:hAnsi="Times New Roman"/>
      <w:szCs w:val="20"/>
      <w:lang w:eastAsia="zh-CN"/>
    </w:rPr>
  </w:style>
  <w:style w:type="paragraph" w:styleId="ScheduleL8" w:customStyle="1">
    <w:name w:val="Schedule L8"/>
    <w:basedOn w:val="Normal"/>
    <w:pPr>
      <w:numPr>
        <w:ilvl w:val="7"/>
        <w:numId w:val="3"/>
      </w:numPr>
      <w:adjustRightInd w:val="0"/>
      <w:spacing w:after="240" w:line="240" w:lineRule="auto"/>
      <w:jc w:val="both"/>
      <w:outlineLvl w:val="7"/>
    </w:pPr>
    <w:rPr>
      <w:rFonts w:ascii="Times New Roman" w:cs="Times New Roman" w:eastAsia="STZhongsong" w:hAnsi="Times New Roman"/>
      <w:szCs w:val="20"/>
      <w:lang w:eastAsia="zh-CN"/>
    </w:rPr>
  </w:style>
  <w:style w:type="paragraph" w:styleId="ScheduleL9" w:customStyle="1">
    <w:name w:val="Schedule L9"/>
    <w:basedOn w:val="Normal"/>
    <w:pPr>
      <w:numPr>
        <w:ilvl w:val="8"/>
        <w:numId w:val="3"/>
      </w:numPr>
      <w:adjustRightInd w:val="0"/>
      <w:spacing w:after="240" w:line="240" w:lineRule="auto"/>
      <w:jc w:val="both"/>
      <w:outlineLvl w:val="8"/>
    </w:pPr>
    <w:rPr>
      <w:rFonts w:ascii="Times New Roman" w:cs="Times New Roman" w:eastAsia="STZhongsong" w:hAnsi="Times New Roman"/>
      <w:szCs w:val="20"/>
      <w:lang w:eastAsia="zh-CN"/>
    </w:rPr>
  </w:style>
  <w:style w:type="character" w:styleId="ScheduleL2Char" w:customStyle="1">
    <w:name w:val="Schedule L2 Char"/>
    <w:link w:val="ScheduleL2"/>
    <w:locked w:val="1"/>
    <w:rPr>
      <w:rFonts w:ascii="Times New Roman" w:cs="Times New Roman" w:eastAsia="STZhongsong" w:hAnsi="Times New Roman"/>
      <w:szCs w:val="20"/>
      <w:lang w:eastAsia="zh-CN"/>
    </w:rPr>
  </w:style>
  <w:style w:type="character" w:styleId="ScheduleL3Char" w:customStyle="1">
    <w:name w:val="Schedule L3 Char"/>
    <w:link w:val="ScheduleL3"/>
    <w:locked w:val="1"/>
    <w:rPr>
      <w:rFonts w:ascii="Times New Roman" w:cs="Times New Roman" w:eastAsia="STZhongsong" w:hAnsi="Times New Roman"/>
      <w:szCs w:val="20"/>
      <w:lang w:eastAsia="zh-CN"/>
    </w:r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sz w:val="20"/>
      <w:szCs w:val="20"/>
    </w:rPr>
  </w:style>
  <w:style w:type="character" w:styleId="FootnoteReference">
    <w:name w:val="footnote reference"/>
    <w:basedOn w:val="DefaultParagraphFont"/>
    <w:uiPriority w:val="99"/>
    <w:semiHidden w:val="1"/>
    <w:unhideWhenUsed w:val="1"/>
    <w:rPr>
      <w:vertAlign w:val="superscript"/>
    </w:rPr>
  </w:style>
  <w:style w:type="paragraph" w:styleId="Schedule1" w:customStyle="1">
    <w:name w:val="Schedule 1"/>
    <w:basedOn w:val="Normal"/>
    <w:next w:val="BodyText"/>
    <w:pPr>
      <w:keepNext w:val="1"/>
      <w:numPr>
        <w:numId w:val="5"/>
      </w:numPr>
      <w:spacing w:after="240" w:line="240" w:lineRule="auto"/>
      <w:jc w:val="both"/>
    </w:pPr>
    <w:rPr>
      <w:rFonts w:ascii="Times New Roman" w:cs="Times New Roman" w:eastAsia="Times New Roman" w:hAnsi="Times New Roman"/>
      <w:b w:val="1"/>
      <w:caps w:val="1"/>
      <w:szCs w:val="20"/>
    </w:rPr>
  </w:style>
  <w:style w:type="paragraph" w:styleId="Schedule2" w:customStyle="1">
    <w:name w:val="Schedule 2"/>
    <w:basedOn w:val="Normal"/>
    <w:next w:val="BodyText"/>
    <w:pPr>
      <w:keepNext w:val="1"/>
      <w:numPr>
        <w:ilvl w:val="1"/>
        <w:numId w:val="5"/>
      </w:numPr>
      <w:spacing w:after="210" w:line="264" w:lineRule="auto"/>
      <w:jc w:val="both"/>
    </w:pPr>
    <w:rPr>
      <w:rFonts w:ascii="Times New Roman" w:cs="Times New Roman" w:eastAsia="Times New Roman" w:hAnsi="Times New Roman"/>
      <w:sz w:val="23"/>
      <w:szCs w:val="20"/>
    </w:rPr>
  </w:style>
  <w:style w:type="paragraph" w:styleId="Schedule3" w:customStyle="1">
    <w:name w:val="Schedule 3"/>
    <w:basedOn w:val="Normal"/>
    <w:pPr>
      <w:numPr>
        <w:ilvl w:val="2"/>
        <w:numId w:val="5"/>
      </w:numPr>
      <w:spacing w:after="210" w:line="264" w:lineRule="auto"/>
      <w:jc w:val="both"/>
    </w:pPr>
    <w:rPr>
      <w:rFonts w:ascii="Times New Roman" w:cs="Times New Roman" w:eastAsia="Times New Roman" w:hAnsi="Times New Roman"/>
      <w:sz w:val="23"/>
      <w:szCs w:val="20"/>
    </w:rPr>
  </w:style>
  <w:style w:type="paragraph" w:styleId="Schedule4" w:customStyle="1">
    <w:name w:val="Schedule 4"/>
    <w:basedOn w:val="Normal"/>
    <w:pPr>
      <w:numPr>
        <w:ilvl w:val="3"/>
        <w:numId w:val="5"/>
      </w:numPr>
      <w:spacing w:after="210" w:line="264" w:lineRule="auto"/>
      <w:jc w:val="both"/>
    </w:pPr>
    <w:rPr>
      <w:rFonts w:ascii="Times New Roman" w:cs="Times New Roman" w:eastAsia="Times New Roman" w:hAnsi="Times New Roman"/>
      <w:sz w:val="23"/>
      <w:szCs w:val="20"/>
    </w:rPr>
  </w:style>
  <w:style w:type="paragraph" w:styleId="Schedule5" w:customStyle="1">
    <w:name w:val="Schedule 5"/>
    <w:basedOn w:val="Normal"/>
    <w:next w:val="Normal"/>
    <w:pPr>
      <w:numPr>
        <w:ilvl w:val="4"/>
        <w:numId w:val="5"/>
      </w:numPr>
      <w:spacing w:after="210" w:line="264" w:lineRule="auto"/>
      <w:jc w:val="both"/>
    </w:pPr>
    <w:rPr>
      <w:rFonts w:ascii="Times New Roman" w:cs="Times New Roman" w:eastAsia="Times New Roman" w:hAnsi="Times New Roman"/>
      <w:sz w:val="23"/>
      <w:szCs w:val="20"/>
    </w:rPr>
  </w:style>
  <w:style w:type="paragraph" w:styleId="Schedule6" w:customStyle="1">
    <w:name w:val="Schedule 6"/>
    <w:basedOn w:val="Normal"/>
    <w:next w:val="Normal"/>
    <w:pPr>
      <w:keepNext w:val="1"/>
      <w:pageBreakBefore w:val="1"/>
      <w:numPr>
        <w:ilvl w:val="5"/>
        <w:numId w:val="5"/>
      </w:numPr>
      <w:spacing w:after="360" w:line="312" w:lineRule="auto"/>
      <w:jc w:val="center"/>
    </w:pPr>
    <w:rPr>
      <w:rFonts w:ascii="Times New Roman Bold" w:cs="Times New Roman" w:eastAsia="Times New Roman" w:hAnsi="Times New Roman Bold"/>
      <w:b w:val="1"/>
      <w:smallCaps w:val="1"/>
      <w:szCs w:val="20"/>
    </w:rPr>
  </w:style>
  <w:style w:type="paragraph" w:styleId="Schedule7" w:customStyle="1">
    <w:name w:val="Schedule 7"/>
    <w:basedOn w:val="Normal"/>
    <w:next w:val="BodyText"/>
    <w:pPr>
      <w:keepNext w:val="1"/>
      <w:numPr>
        <w:ilvl w:val="6"/>
        <w:numId w:val="5"/>
      </w:numPr>
      <w:spacing w:after="60" w:before="120" w:line="264" w:lineRule="auto"/>
      <w:jc w:val="both"/>
    </w:pPr>
    <w:rPr>
      <w:rFonts w:ascii="Times New Roman Bold" w:cs="Times New Roman" w:eastAsia="Times New Roman" w:hAnsi="Times New Roman Bold"/>
      <w:b w:val="1"/>
      <w:sz w:val="23"/>
      <w:szCs w:val="20"/>
    </w:rPr>
  </w:style>
  <w:style w:type="paragraph" w:styleId="Schedule8" w:customStyle="1">
    <w:name w:val="Schedule 8"/>
    <w:basedOn w:val="Normal"/>
    <w:pPr>
      <w:numPr>
        <w:ilvl w:val="7"/>
        <w:numId w:val="5"/>
      </w:numPr>
      <w:spacing w:after="210" w:line="264" w:lineRule="auto"/>
      <w:jc w:val="both"/>
    </w:pPr>
    <w:rPr>
      <w:rFonts w:ascii="Times New Roman" w:cs="Times New Roman" w:eastAsia="Times New Roman" w:hAnsi="Times New Roman"/>
      <w:sz w:val="23"/>
      <w:szCs w:val="20"/>
    </w:rPr>
  </w:style>
  <w:style w:type="paragraph" w:styleId="Schedule9" w:customStyle="1">
    <w:name w:val="Schedule 9"/>
    <w:basedOn w:val="Normal"/>
    <w:next w:val="Normal"/>
    <w:pPr>
      <w:numPr>
        <w:ilvl w:val="8"/>
        <w:numId w:val="5"/>
      </w:numPr>
      <w:spacing w:after="210" w:line="264" w:lineRule="auto"/>
      <w:jc w:val="both"/>
    </w:pPr>
    <w:rPr>
      <w:rFonts w:ascii="Times New Roman" w:cs="Times New Roman" w:eastAsia="Times New Roman" w:hAnsi="Times New Roman"/>
      <w:sz w:val="23"/>
      <w:szCs w:val="20"/>
    </w:rPr>
  </w:style>
  <w:style w:type="paragraph" w:styleId="StyleSchedule211pt" w:customStyle="1">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val="1"/>
    <w:unhideWhenUsed w:val="1"/>
    <w:pPr>
      <w:spacing w:after="120"/>
    </w:pPr>
  </w:style>
  <w:style w:type="character" w:styleId="BodyTextChar" w:customStyle="1">
    <w:name w:val="Body Text Char"/>
    <w:basedOn w:val="DefaultParagraphFont"/>
    <w:link w:val="BodyText"/>
    <w:uiPriority w:val="99"/>
    <w:semiHidden w:val="1"/>
  </w:style>
  <w:style w:type="paragraph" w:styleId="9plus" w:customStyle="1">
    <w:name w:val="9 plus"/>
    <w:basedOn w:val="Normal"/>
    <w:pPr>
      <w:numPr>
        <w:numId w:val="8"/>
      </w:numPr>
      <w:spacing w:after="210" w:line="264" w:lineRule="auto"/>
      <w:jc w:val="both"/>
    </w:pPr>
    <w:rPr>
      <w:rFonts w:ascii="Times New Roman" w:cs="Times New Roman" w:eastAsia="Times New Roman" w:hAnsi="Times New Roman"/>
      <w:sz w:val="23"/>
      <w:szCs w:val="20"/>
    </w:rPr>
  </w:style>
  <w:style w:type="paragraph" w:styleId="ListParagraph">
    <w:name w:val="List Paragraph"/>
    <w:basedOn w:val="Normal"/>
    <w:uiPriority w:val="34"/>
    <w:qFormat w:val="1"/>
    <w:pPr>
      <w:spacing w:after="0" w:line="240" w:lineRule="auto"/>
      <w:ind w:left="720"/>
    </w:pPr>
    <w:rPr>
      <w:rFonts w:ascii="Calibri" w:cs="Times New Roman" w:hAnsi="Calibri"/>
    </w:rPr>
  </w:style>
  <w:style w:type="paragraph" w:styleId="MarginText" w:customStyle="1">
    <w:name w:val="Margin Text"/>
    <w:basedOn w:val="Normal"/>
    <w:link w:val="MarginTextChar"/>
    <w:rsid w:val="00D63739"/>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MarginTextChar" w:customStyle="1">
    <w:name w:val="Margin Text Char"/>
    <w:link w:val="MarginText"/>
    <w:locked w:val="1"/>
    <w:rsid w:val="00D63739"/>
    <w:rPr>
      <w:rFonts w:ascii="Calibri" w:cs="Times New Roman" w:eastAsia="STZhongsong" w:hAnsi="Calibri"/>
      <w:szCs w:val="18"/>
      <w:lang w:eastAsia="zh-CN"/>
    </w:rPr>
  </w:style>
  <w:style w:type="paragraph" w:styleId="TOC1">
    <w:name w:val="toc 1"/>
    <w:basedOn w:val="Normal"/>
    <w:next w:val="Normal"/>
    <w:autoRedefine w:val="1"/>
    <w:uiPriority w:val="39"/>
    <w:semiHidden w:val="1"/>
    <w:unhideWhenUsed w:val="1"/>
    <w:rsid w:val="0014367B"/>
    <w:pPr>
      <w:spacing w:after="100"/>
    </w:pPr>
  </w:style>
  <w:style w:type="paragraph" w:styleId="TOC4">
    <w:name w:val="toc 4"/>
    <w:basedOn w:val="Normal"/>
    <w:next w:val="Normal"/>
    <w:autoRedefine w:val="1"/>
    <w:uiPriority w:val="39"/>
    <w:semiHidden w:val="1"/>
    <w:unhideWhenUsed w:val="1"/>
    <w:rsid w:val="0014367B"/>
    <w:pPr>
      <w:spacing w:after="100"/>
      <w:ind w:left="660"/>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sru8oKMOR9nHYdXb7asLgiveiCw==">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JaC40OXgyaWs1MgloLjJwMmNzcnkyCWguM283YWxuazIJaC4yM2NrdnZkMghoLmlodjYzNjIJaC4zMmhpb3F6MgloLjFobXN5eXMyCWguNDFtZ2htbDIJaC4yZ3JxcnVlMghoLnZ4MTIyNzIJaC4zZndva3EwOAByITFQOVBNbDVVci1HZUV2ZEdoLXd1TXBlX3Nxa1c0d0wzR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2022-09-23T02:39:00Z</dcterms:created>
  <dc:creator>"Nicole Phillips" &lt;nicole.phillips@gpa.gov.uk&gt;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